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PROGRAMMAZIONE DI EDUCAZIONE CIVICA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A.S. 2020/2021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II C</w:t>
      </w:r>
    </w:p>
    <w:p w:rsidR="00000000" w:rsidDel="00000000" w:rsidP="00000000" w:rsidRDefault="00000000" w:rsidRPr="00000000" w14:paraId="00000004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COORDINAMENTO: Mariacristina Metrangolo                                                  Ore complessive: 43</w:t>
      </w:r>
    </w:p>
    <w:tbl>
      <w:tblPr>
        <w:tblStyle w:val="Table1"/>
        <w:tblW w:w="10125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6405"/>
        <w:gridCol w:w="1035"/>
        <w:tblGridChange w:id="0">
          <w:tblGrid>
            <w:gridCol w:w="2685"/>
            <w:gridCol w:w="6405"/>
            <w:gridCol w:w="1035"/>
          </w:tblGrid>
        </w:tblGridChange>
      </w:tblGrid>
      <w:tr>
        <w:trPr>
          <w:trHeight w:val="382.96875" w:hRule="atLeast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EDUCAZIONE ALLA CITTADINANZA DIGITALE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U.D.A. N. 1  - BULLISMO E CYBERBULLISMO</w:t>
            </w:r>
          </w:p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L’unità didattica è stata progettata per rispondere al bisogno di diffondere la conoscenza dei fenomeni del bullismo e del cyberbullismo, apprendere le strategie per gestire le difficoltà, potenziare abilità e competenze di aiuto, guidare ad un uso consapevole dei social, aumentare la capacità comunicativa e di empatia, migliorare le relazioni all’interno del gruppo classe nel rispetto delle differenze individuali. </w:t>
            </w:r>
          </w:p>
        </w:tc>
      </w:tr>
      <w:tr>
        <w:trPr>
          <w:trHeight w:val="2250" w:hRule="atLeast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FORMATIVI</w:t>
            </w:r>
          </w:p>
          <w:p w:rsidR="00000000" w:rsidDel="00000000" w:rsidP="00000000" w:rsidRDefault="00000000" w:rsidRPr="00000000" w14:paraId="0000000D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L’unità didattica si propone di: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ind w:left="141.73228346456688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promuovere la consapevolezza di sé e dell’altro, attraverso l’educazione alla cittadinanza, maturando la consapevolezza del limite tra legalità e reato;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ind w:left="141.73228346456688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favorire la comprensione della realtà in cui si vive e saper essere cittadini consapevoli della propria identità e rispettosi di quella altrui;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ind w:left="141.73228346456688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favorire l’acquisizione di un utilizzo consapevole delle nuove tecnologie di comunicazione con particolare riferimento alle potenzialità della tecnologia rispetto al contesto culturale e sociale di applicazione.</w:t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ind w:left="0" w:firstLine="0"/>
              <w:jc w:val="both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Periodo di svolgimento: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Dicembre/Gennaio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6">
            <w:p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DISCIPLINE COINVOLTE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CONTENUTI DISCIPLINARI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ORE</w:t>
            </w:r>
          </w:p>
        </w:tc>
      </w:tr>
      <w:tr>
        <w:trPr>
          <w:trHeight w:val="499.8828124999997" w:hRule="atLeast"/>
        </w:trPr>
        <w:tc>
          <w:tcPr/>
          <w:p w:rsidR="00000000" w:rsidDel="00000000" w:rsidP="00000000" w:rsidRDefault="00000000" w:rsidRPr="00000000" w14:paraId="00000019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Diritto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Inquadramento giuridico dei fenomeni del bullismo e del cyberbullismo con riferimento alla legislazione adottata per contrastarli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499.8828124999997" w:hRule="atLeast"/>
        </w:trPr>
        <w:tc>
          <w:tcPr/>
          <w:p w:rsidR="00000000" w:rsidDel="00000000" w:rsidP="00000000" w:rsidRDefault="00000000" w:rsidRPr="00000000" w14:paraId="0000001D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Italiano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Analisi dei fenomeni del bullismo e cyberbullismo attraverso i casi di cronaca.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499.8828124999997" w:hRule="atLeast"/>
        </w:trPr>
        <w:tc>
          <w:tcPr/>
          <w:p w:rsidR="00000000" w:rsidDel="00000000" w:rsidP="00000000" w:rsidRDefault="00000000" w:rsidRPr="00000000" w14:paraId="00000020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La Silicon Valley e le startup internazionali della tecnologia (Apple, Facebook e Google).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499.8828124999997" w:hRule="atLeast"/>
        </w:trPr>
        <w:tc>
          <w:tcPr/>
          <w:p w:rsidR="00000000" w:rsidDel="00000000" w:rsidP="00000000" w:rsidRDefault="00000000" w:rsidRPr="00000000" w14:paraId="00000023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Francese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Varie forme di bullismo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499.8828124999997" w:hRule="atLeast"/>
        </w:trPr>
        <w:tc>
          <w:tcPr/>
          <w:p w:rsidR="00000000" w:rsidDel="00000000" w:rsidP="00000000" w:rsidRDefault="00000000" w:rsidRPr="00000000" w14:paraId="00000026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Scienze motorie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L’accettazione degli altri e il fair-play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499.8828124999997" w:hRule="atLeast"/>
        </w:trPr>
        <w:tc>
          <w:tcPr/>
          <w:p w:rsidR="00000000" w:rsidDel="00000000" w:rsidP="00000000" w:rsidRDefault="00000000" w:rsidRPr="00000000" w14:paraId="00000029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Religione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Scuola, bullismo e inclusione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499.8828124999997" w:hRule="atLeast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 ORE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</w:tr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Periodo di svolgimento: </w:t>
            </w:r>
            <w:r w:rsidDel="00000000" w:rsidR="00000000" w:rsidRPr="00000000">
              <w:rPr>
                <w:highlight w:val="white"/>
                <w:rtl w:val="0"/>
              </w:rPr>
              <w:t xml:space="preserve">Trimestre</w:t>
            </w:r>
          </w:p>
        </w:tc>
      </w:tr>
      <w:tr>
        <w:trPr>
          <w:trHeight w:val="360" w:hRule="atLeast"/>
        </w:trP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2030 E SVILUPPO SOSTENIBILE</w:t>
            </w:r>
          </w:p>
        </w:tc>
      </w:tr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Periodo di svolgimento: </w:t>
            </w:r>
            <w:r w:rsidDel="00000000" w:rsidR="00000000" w:rsidRPr="00000000">
              <w:rPr>
                <w:rtl w:val="0"/>
              </w:rPr>
              <w:t xml:space="preserve">Pentamestre</w:t>
            </w:r>
          </w:p>
        </w:tc>
      </w:tr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Competenze: </w:t>
            </w:r>
            <w:r w:rsidDel="00000000" w:rsidR="00000000" w:rsidRPr="00000000">
              <w:rPr>
                <w:rtl w:val="0"/>
              </w:rPr>
              <w:t xml:space="preserve">comprendere che gli obiettivi dell’Agenda 2030 non riguardano solo la salvaguardia dell’ambiente e delle risorse naturali, ma anche la costruzione di ambienti di vita, di città, la scelta di modi di vivere inclusivi e rispettosi dei diritti fondamentali delle persone e dell’ambiente.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Conoscenze: </w:t>
            </w:r>
            <w:r w:rsidDel="00000000" w:rsidR="00000000" w:rsidRPr="00000000">
              <w:rPr>
                <w:rtl w:val="0"/>
              </w:rPr>
              <w:t xml:space="preserve">i cambiamenti climatici. Cause e conseguenze del surriscaldamento  globale. Norme, leggi e programmi d’Azione: il Protocollo di Kyoto, la Conferenza di Parigi, l’ ’Agenda 2030. L'attività di Greta Thumberg e le sue ricadute. </w:t>
            </w:r>
          </w:p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Abilità: </w:t>
            </w:r>
            <w:r w:rsidDel="00000000" w:rsidR="00000000" w:rsidRPr="00000000">
              <w:rPr>
                <w:rtl w:val="0"/>
              </w:rPr>
              <w:t xml:space="preserve">Saper riconoscere i goals dell’Agenda 2030 e comprenderne l’importanza per le generazioni future.Riconoscere nelle attività di Greta Thumberg un esempio di cittadinanza attiva che coinvolge le giovani generazioni. Saper praticare la sostenibilità nei gesti quotidiani.  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L’Agenda 2030 e i 17 obiettivi per lo sviluppo sostenibile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Scienze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shd w:fill="efefef" w:val="clear"/>
              </w:rPr>
            </w:pPr>
            <w:r w:rsidDel="00000000" w:rsidR="00000000" w:rsidRPr="00000000">
              <w:rPr>
                <w:shd w:fill="efefef" w:val="clear"/>
                <w:rtl w:val="0"/>
              </w:rPr>
              <w:t xml:space="preserve">Agenda 2030 - Obt.13: combattere il cambiamento climatico 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Inglese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 ruolo di Greta Thumberg: un esempio di cittadinanza attiva che coinvolge le giovani generazioni - Agenda 2030: UN Sustainable Development - The World’s largest Lesson/Global Goals - Agenda 2030: zero hunger (goal n. 4)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Religione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Custodire il Creato - La sfida ecologica - Il decalogo dell’ecologia (Enciclica “Laudato Si’ ”)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 ORE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</w:tr>
      <w:tr>
        <w:trPr>
          <w:trHeight w:val="360" w:hRule="atLeast"/>
        </w:trP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COSTITUZIONE, ISTITUZIONI, REGOLE E LEGALITA’</w:t>
            </w:r>
          </w:p>
        </w:tc>
      </w:tr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U.D.A. - CITTADINI ITALIANI ED EUROPEI</w:t>
            </w:r>
          </w:p>
        </w:tc>
      </w:tr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Periodo di svolgimento: </w:t>
            </w:r>
            <w:r w:rsidDel="00000000" w:rsidR="00000000" w:rsidRPr="00000000">
              <w:rPr>
                <w:rtl w:val="0"/>
              </w:rPr>
              <w:t xml:space="preserve">Pentamestre</w:t>
            </w:r>
          </w:p>
        </w:tc>
      </w:tr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Competenze: </w:t>
            </w:r>
            <w:r w:rsidDel="00000000" w:rsidR="00000000" w:rsidRPr="00000000">
              <w:rPr>
                <w:rtl w:val="0"/>
              </w:rPr>
              <w:t xml:space="preserve">Conoscere l’organizzazione costituzionale ed amministrativa del nostro Paese per rispondere ai propri doveri di cittadino ed esercitare con consapevolezza i propri diritti politici a livello territoriale e nazionale. Conoscere i valori che ispirano gli ordinamenti comunitari e internazionali, nonché i loro compiti e funzioni essenziali.</w:t>
            </w:r>
          </w:p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Conoscenze: </w:t>
            </w:r>
            <w:r w:rsidDel="00000000" w:rsidR="00000000" w:rsidRPr="00000000">
              <w:rPr>
                <w:rtl w:val="0"/>
              </w:rPr>
              <w:t xml:space="preserve">gli Organi dello Stato e la divisione dei poteri. Gli enti territoriali. L’UE e le sue Istituzioni</w:t>
            </w:r>
          </w:p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Abilità: </w:t>
            </w:r>
            <w:r w:rsidDel="00000000" w:rsidR="00000000" w:rsidRPr="00000000">
              <w:rPr>
                <w:rtl w:val="0"/>
              </w:rPr>
              <w:t xml:space="preserve">saper distinguere le funzioni e la composizione degli Organi dello Stato. Individuare negli enti territoriali gli organismi più vicini alle esigenze dei cittadini. Riconoscere il ruolo delle Istituzioni dell’UE.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DISCIPLINE COINVOLTE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CONTENUTI DISCIPLINARI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Diritto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Forme di Stato e Forme di Governo + Prova trasversale di competenza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Italiano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Storia della bandiera e storia e analisi dell’Inno di Mameli + Prova trasversale di competenza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Inglese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British Parliament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Francese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L’organizzazione politica della Francia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 ORE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</w:tr>
      <w:tr>
        <w:trPr>
          <w:trHeight w:val="345" w:hRule="atLeast"/>
        </w:trPr>
        <w:tc>
          <w:tcPr>
            <w:gridSpan w:val="3"/>
          </w:tcPr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METODOLOGIE DIDATTICHE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Flipped classroom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Lezione partecipata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Debate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Brain storming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Visione di video o film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Esercitazioni in laboratorio</w:t>
            </w:r>
          </w:p>
        </w:tc>
      </w:tr>
      <w:tr>
        <w:trPr>
          <w:trHeight w:val="345" w:hRule="atLeast"/>
        </w:trPr>
        <w:tc>
          <w:tcPr>
            <w:gridSpan w:val="3"/>
          </w:tcPr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VERIFICA E VALUTAZIONE DEGLI APPRENDIMENTI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Osservazione sistematica in itinere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Verifica delle consegne  (a scuola e a casa)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Rilevazioni orali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Verifiche scritte strutturate e semi-strutturate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Prova comune trasversale</w:t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Del="00000000" w:rsidR="00000000" w:rsidRPr="00000000">
      <w:rPr>
        <w:color w:val="8496b0"/>
        <w:sz w:val="24"/>
        <w:szCs w:val="24"/>
        <w:rtl w:val="0"/>
      </w:rPr>
      <w:t xml:space="preserve">Pag. </w:t>
    </w:r>
    <w:r w:rsidDel="00000000" w:rsidR="00000000" w:rsidRPr="00000000">
      <w:rPr>
        <w:color w:val="323e4f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323e4f"/>
        <w:sz w:val="24"/>
        <w:szCs w:val="24"/>
        <w:rtl w:val="0"/>
      </w:rPr>
      <w:t xml:space="preserve"> | </w:t>
    </w:r>
    <w:r w:rsidDel="00000000" w:rsidR="00000000" w:rsidRPr="00000000">
      <w:rPr>
        <w:color w:val="323e4f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ISTITUTO TECNICO COMMERCIALE E PER GEOMETRI “E. FERMI”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2936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564C25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64C25"/>
  </w:style>
  <w:style w:type="paragraph" w:styleId="Pidipagina">
    <w:name w:val="footer"/>
    <w:basedOn w:val="Normale"/>
    <w:link w:val="PidipaginaCarattere"/>
    <w:uiPriority w:val="99"/>
    <w:unhideWhenUsed w:val="1"/>
    <w:rsid w:val="00564C25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64C25"/>
  </w:style>
  <w:style w:type="paragraph" w:styleId="Paragrafoelenco">
    <w:name w:val="List Paragraph"/>
    <w:basedOn w:val="Normale"/>
    <w:uiPriority w:val="34"/>
    <w:qFormat w:val="1"/>
    <w:rsid w:val="0020624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sLwoFCTPZOx0ylXJ+qITxl/9A==">AMUW2mUctSvFzz9DbBbXTAdubPuJpyYXkfNO+UiNqaxyfjy1zyyl1dahgVzPEu69F6oFalneTW5r9472SOEMKGnO+28p3KyPyioqWjD6WUE4x6chnfu5Ti0=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2020-09-04T09:50:00Z</dcterms:created>
  <dc:creator>donatella crocchiante</dc:creator>
</cp:coreProperties>
</file>